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widowControl w:val="0"/>
        <w:shd w:val="clear" w:color="auto" w:fill="ffffff"/>
        <w:ind w:firstLine="0"/>
        <w:jc w:val="center"/>
        <w:rPr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Article Layout</w:t>
      </w:r>
    </w:p>
    <w:p>
      <w:pPr>
        <w:pStyle w:val="Обычный"/>
        <w:widowControl w:val="0"/>
        <w:shd w:val="clear" w:color="auto" w:fill="ffffff"/>
        <w:ind w:firstLine="0"/>
        <w:jc w:val="center"/>
        <w:rPr>
          <w:sz w:val="24"/>
          <w:szCs w:val="24"/>
        </w:rPr>
      </w:pPr>
    </w:p>
    <w:p>
      <w:pPr>
        <w:pStyle w:val="Обычный"/>
        <w:ind w:firstLine="567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УДК </w:t>
      </w:r>
      <w:r>
        <w:rPr>
          <w:sz w:val="24"/>
          <w:szCs w:val="24"/>
          <w:rtl w:val="0"/>
          <w:lang w:val="ru-RU"/>
        </w:rPr>
        <w:t>514.76</w:t>
      </w:r>
    </w:p>
    <w:p>
      <w:pPr>
        <w:pStyle w:val="Обычный"/>
        <w:ind w:firstLine="0"/>
        <w:jc w:val="center"/>
        <w:rPr>
          <w:sz w:val="24"/>
          <w:szCs w:val="24"/>
        </w:rPr>
      </w:pPr>
    </w:p>
    <w:p>
      <w:pPr>
        <w:pStyle w:val="Обычный"/>
        <w:ind w:firstLine="0"/>
        <w:jc w:val="center"/>
        <w:rPr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Ivan I.Ivanov</w:t>
      </w:r>
    </w:p>
    <w:p>
      <w:pPr>
        <w:pStyle w:val="Обычный"/>
        <w:ind w:firstLine="0"/>
        <w:jc w:val="center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Immanuel Kant Baltic Federal University</w:t>
      </w:r>
    </w:p>
    <w:p>
      <w:pPr>
        <w:pStyle w:val="Обычный"/>
        <w:ind w:firstLine="0"/>
        <w:jc w:val="center"/>
        <w:rPr>
          <w:rStyle w:val="None"/>
          <w:sz w:val="24"/>
          <w:szCs w:val="24"/>
        </w:rPr>
      </w:pP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"mailto:ivanovii@mail.ru"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ivanovii</w:t>
      </w:r>
      <w:r>
        <w:rPr>
          <w:rStyle w:val="None"/>
          <w:outline w:val="0"/>
          <w:color w:val="0000ff"/>
          <w:sz w:val="24"/>
          <w:szCs w:val="24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mail</w:t>
      </w:r>
      <w:r>
        <w:rPr>
          <w:rStyle w:val="None"/>
          <w:outline w:val="0"/>
          <w:color w:val="0000ff"/>
          <w:sz w:val="24"/>
          <w:szCs w:val="24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ru</w:t>
      </w:r>
      <w:r>
        <w:rPr/>
        <w:fldChar w:fldCharType="end" w:fldLock="0"/>
      </w:r>
    </w:p>
    <w:p>
      <w:pPr>
        <w:pStyle w:val="Обычный"/>
        <w:ind w:firstLine="0"/>
        <w:jc w:val="center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ORCID</w:t>
      </w:r>
      <w:r>
        <w:rPr>
          <w:rStyle w:val="None"/>
          <w:sz w:val="24"/>
          <w:szCs w:val="24"/>
          <w:rtl w:val="0"/>
          <w:lang w:val="ru-RU"/>
        </w:rPr>
        <w:t xml:space="preserve">: </w:t>
      </w:r>
      <w:r>
        <w:rPr>
          <w:rStyle w:val="Hyperlink.1"/>
          <w:outline w:val="0"/>
          <w:color w:val="4f81bd"/>
          <w:sz w:val="24"/>
          <w:szCs w:val="24"/>
          <w:u w:val="single" w:color="4f81bd"/>
          <w:lang w:val="ru-RU"/>
          <w14:textFill>
            <w14:solidFill>
              <w14:srgbClr w14:val="4F81BD"/>
            </w14:solidFill>
          </w14:textFill>
        </w:rPr>
        <w:fldChar w:fldCharType="begin" w:fldLock="0"/>
      </w:r>
      <w:r>
        <w:rPr>
          <w:rStyle w:val="Hyperlink.1"/>
          <w:outline w:val="0"/>
          <w:color w:val="4f81bd"/>
          <w:sz w:val="24"/>
          <w:szCs w:val="24"/>
          <w:u w:val="single" w:color="4f81bd"/>
          <w:lang w:val="ru-RU"/>
          <w14:textFill>
            <w14:solidFill>
              <w14:srgbClr w14:val="4F81BD"/>
            </w14:solidFill>
          </w14:textFill>
        </w:rPr>
        <w:instrText xml:space="preserve"> HYPERLINK "http://orcid.org/0000-0002-9935-0232"</w:instrText>
      </w:r>
      <w:r>
        <w:rPr>
          <w:rStyle w:val="Hyperlink.1"/>
          <w:outline w:val="0"/>
          <w:color w:val="4f81bd"/>
          <w:sz w:val="24"/>
          <w:szCs w:val="24"/>
          <w:u w:val="single" w:color="4f81bd"/>
          <w:lang w:val="ru-RU"/>
          <w14:textFill>
            <w14:solidFill>
              <w14:srgbClr w14:val="4F81BD"/>
            </w14:solidFill>
          </w14:textFill>
        </w:rPr>
        <w:fldChar w:fldCharType="separate" w:fldLock="0"/>
      </w:r>
      <w:r>
        <w:rPr>
          <w:rStyle w:val="Hyperlink.1"/>
          <w:outline w:val="0"/>
          <w:color w:val="4f81bd"/>
          <w:sz w:val="24"/>
          <w:szCs w:val="24"/>
          <w:u w:val="single" w:color="4f81bd"/>
          <w:rtl w:val="0"/>
          <w:lang w:val="ru-RU"/>
          <w14:textFill>
            <w14:solidFill>
              <w14:srgbClr w14:val="4F81BD"/>
            </w14:solidFill>
          </w14:textFill>
        </w:rPr>
        <w:t>http://orcid.org/0000-0002-9935-0232</w:t>
      </w:r>
      <w:r>
        <w:rPr/>
        <w:fldChar w:fldCharType="end" w:fldLock="0"/>
      </w:r>
    </w:p>
    <w:p>
      <w:pPr>
        <w:pStyle w:val="Обычный"/>
        <w:ind w:firstLine="0"/>
        <w:jc w:val="center"/>
        <w:rPr>
          <w:rStyle w:val="None"/>
          <w:sz w:val="24"/>
          <w:szCs w:val="24"/>
        </w:rPr>
      </w:pPr>
    </w:p>
    <w:p>
      <w:pPr>
        <w:pStyle w:val="Обычный"/>
        <w:ind w:firstLine="0"/>
        <w:jc w:val="center"/>
        <w:rPr>
          <w:rStyle w:val="None"/>
          <w:b w:val="1"/>
          <w:bCs w:val="1"/>
          <w:sz w:val="24"/>
          <w:szCs w:val="24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Title of the article</w:t>
      </w:r>
    </w:p>
    <w:p>
      <w:pPr>
        <w:pStyle w:val="Обычный"/>
        <w:ind w:firstLine="0"/>
        <w:rPr>
          <w:rStyle w:val="None"/>
          <w:sz w:val="24"/>
          <w:szCs w:val="24"/>
          <w:lang w:val="en-US"/>
        </w:rPr>
      </w:pPr>
    </w:p>
    <w:p>
      <w:pPr>
        <w:pStyle w:val="Обычный"/>
        <w:ind w:left="284" w:right="282" w:firstLine="283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Abstract The article explores ... </w:t>
      </w:r>
    </w:p>
    <w:p>
      <w:pPr>
        <w:pStyle w:val="Обычный"/>
        <w:ind w:firstLine="0"/>
        <w:rPr>
          <w:rStyle w:val="None"/>
          <w:sz w:val="24"/>
          <w:szCs w:val="24"/>
          <w:lang w:val="en-US"/>
        </w:rPr>
      </w:pPr>
    </w:p>
    <w:p>
      <w:pPr>
        <w:pStyle w:val="Обычный"/>
        <w:ind w:firstLine="567"/>
        <w:rPr>
          <w:rStyle w:val="None"/>
          <w:sz w:val="24"/>
          <w:szCs w:val="24"/>
          <w:lang w:val="en-US"/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>Key words:</w:t>
      </w:r>
      <w:r>
        <w:rPr>
          <w:rStyle w:val="None"/>
          <w:sz w:val="24"/>
          <w:szCs w:val="24"/>
          <w:rtl w:val="0"/>
          <w:lang w:val="en-US"/>
        </w:rPr>
        <w:t xml:space="preserve"> geometry,</w:t>
      </w:r>
      <w:r>
        <w:rPr>
          <w:rStyle w:val="None"/>
          <w:sz w:val="24"/>
          <w:szCs w:val="24"/>
          <w:rtl w:val="0"/>
          <w:lang w:val="en-US"/>
        </w:rPr>
        <w:t>……</w:t>
      </w:r>
      <w:r>
        <w:rPr>
          <w:rStyle w:val="None"/>
          <w:sz w:val="24"/>
          <w:szCs w:val="24"/>
          <w:rtl w:val="0"/>
          <w:lang w:val="en-US"/>
        </w:rPr>
        <w:t>.</w:t>
      </w:r>
    </w:p>
    <w:p>
      <w:pPr>
        <w:pStyle w:val="Обычный"/>
        <w:ind w:firstLine="0"/>
        <w:rPr>
          <w:rStyle w:val="None"/>
          <w:sz w:val="24"/>
          <w:szCs w:val="24"/>
          <w:lang w:val="en-US"/>
        </w:rPr>
      </w:pPr>
    </w:p>
    <w:p>
      <w:pPr>
        <w:pStyle w:val="Обычный"/>
        <w:ind w:firstLine="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Examples of formatting</w:t>
      </w:r>
    </w:p>
    <w:p>
      <w:pPr>
        <w:pStyle w:val="Обычный"/>
        <w:ind w:firstLine="0"/>
        <w:rPr>
          <w:rStyle w:val="None"/>
          <w:sz w:val="24"/>
          <w:szCs w:val="24"/>
          <w:lang w:val="en-US"/>
        </w:rPr>
      </w:pPr>
    </w:p>
    <w:p>
      <w:pPr>
        <w:pStyle w:val="Обычный"/>
        <w:ind w:firstLine="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The scalar curvature </w:t>
      </w:r>
      <w:r>
        <w:rPr>
          <w:rStyle w:val="None"/>
          <w:sz w:val="24"/>
          <w:szCs w:val="24"/>
          <w:lang w:val="en-US"/>
        </w:rPr>
        <w:drawing xmlns:a="http://schemas.openxmlformats.org/drawingml/2006/main">
          <wp:inline distT="0" distB="0" distL="0" distR="0">
            <wp:extent cx="112357" cy="1295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57" cy="129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sz w:val="24"/>
          <w:szCs w:val="24"/>
          <w:rtl w:val="0"/>
          <w:lang w:val="en-US"/>
        </w:rPr>
        <w:t xml:space="preserve"> of a space-like minimal hypersurface M in de Sitter space S</w:t>
      </w:r>
      <w:r>
        <w:rPr>
          <w:rStyle w:val="None"/>
          <w:sz w:val="24"/>
          <w:szCs w:val="24"/>
          <w:lang w:val="en-US"/>
        </w:rPr>
        <w:drawing xmlns:a="http://schemas.openxmlformats.org/drawingml/2006/main">
          <wp:inline distT="0" distB="0" distL="0" distR="0">
            <wp:extent cx="198121" cy="241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1" cy="24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sz w:val="24"/>
          <w:szCs w:val="24"/>
          <w:rtl w:val="0"/>
          <w:lang w:val="en-US"/>
        </w:rPr>
        <w:t xml:space="preserve"> is a positive subharmonic function</w:t>
      </w:r>
      <w:r>
        <w:rPr>
          <w:rStyle w:val="None"/>
          <w:sz w:val="24"/>
          <w:szCs w:val="24"/>
          <w:rtl w:val="0"/>
          <w:lang w:val="en-US"/>
        </w:rPr>
        <w:t>……</w:t>
      </w:r>
    </w:p>
    <w:p>
      <w:pPr>
        <w:pStyle w:val="Обычный"/>
        <w:widowControl w:val="0"/>
        <w:shd w:val="clear" w:color="auto" w:fill="ffffff"/>
        <w:ind w:firstLine="567"/>
        <w:rPr>
          <w:rStyle w:val="None"/>
          <w:sz w:val="24"/>
          <w:szCs w:val="24"/>
          <w:lang w:val="en-US"/>
        </w:rPr>
      </w:pPr>
    </w:p>
    <w:p>
      <w:pPr>
        <w:pStyle w:val="Обычный"/>
        <w:ind w:firstLine="0"/>
        <w:jc w:val="center"/>
        <w:rPr>
          <w:rStyle w:val="None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>References</w:t>
      </w:r>
    </w:p>
    <w:p>
      <w:pPr>
        <w:pStyle w:val="Обычный"/>
        <w:tabs>
          <w:tab w:val="left" w:pos="993"/>
        </w:tabs>
        <w:ind w:firstLine="0"/>
        <w:jc w:val="center"/>
        <w:rPr>
          <w:rStyle w:val="None"/>
          <w:sz w:val="24"/>
          <w:szCs w:val="24"/>
          <w:lang w:val="en-US"/>
        </w:rPr>
      </w:pPr>
    </w:p>
    <w:p>
      <w:pPr>
        <w:pStyle w:val="Обычный"/>
        <w:tabs>
          <w:tab w:val="left" w:pos="993"/>
        </w:tabs>
        <w:ind w:firstLine="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1.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Akivis, M.A.:</w:t>
      </w:r>
      <w:r>
        <w:rPr>
          <w:rStyle w:val="None"/>
          <w:sz w:val="24"/>
          <w:szCs w:val="24"/>
          <w:rtl w:val="0"/>
          <w:lang w:val="en-US"/>
        </w:rPr>
        <w:t xml:space="preserve"> Multidimensional differential geometry. Kalinin (1977)</w:t>
      </w:r>
    </w:p>
    <w:p>
      <w:pPr>
        <w:pStyle w:val="Обычный"/>
        <w:tabs>
          <w:tab w:val="left" w:pos="993"/>
        </w:tabs>
        <w:ind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2.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Belova, </w:t>
      </w:r>
      <w:r>
        <w:rPr>
          <w:rStyle w:val="None"/>
          <w:i w:val="1"/>
          <w:iCs w:val="1"/>
          <w:sz w:val="24"/>
          <w:szCs w:val="24"/>
          <w:rtl w:val="0"/>
          <w:lang w:val="ru-RU"/>
        </w:rPr>
        <w:t>О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.O.: </w:t>
      </w:r>
      <w:r>
        <w:rPr>
          <w:rStyle w:val="None"/>
          <w:sz w:val="24"/>
          <w:szCs w:val="24"/>
          <w:rtl w:val="0"/>
          <w:lang w:val="en-US"/>
        </w:rPr>
        <w:t>Inducing an analog of Neifeld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>s connection on the space of centred planes. DGMF, Kaliningrad. 47, 24</w:t>
      </w:r>
      <w:r>
        <w:rPr>
          <w:rStyle w:val="None"/>
          <w:sz w:val="24"/>
          <w:szCs w:val="24"/>
          <w:rtl w:val="0"/>
          <w:lang w:val="en-US"/>
        </w:rPr>
        <w:t>–</w:t>
      </w:r>
      <w:r>
        <w:rPr>
          <w:rStyle w:val="None"/>
          <w:sz w:val="24"/>
          <w:szCs w:val="24"/>
          <w:rtl w:val="0"/>
          <w:lang w:val="en-US"/>
        </w:rPr>
        <w:t>28 (2016)</w:t>
      </w:r>
    </w:p>
    <w:p>
      <w:pPr>
        <w:pStyle w:val="Обычный"/>
        <w:tabs>
          <w:tab w:val="left" w:pos="993"/>
        </w:tabs>
        <w:ind w:firstLine="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3.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Shevchenko, Yu.I.:</w:t>
      </w:r>
      <w:r>
        <w:rPr>
          <w:rStyle w:val="None"/>
          <w:sz w:val="24"/>
          <w:szCs w:val="24"/>
          <w:rtl w:val="0"/>
          <w:lang w:val="en-US"/>
        </w:rPr>
        <w:t xml:space="preserve"> Degeneration of Stolyarov</w:t>
      </w:r>
      <w:r>
        <w:rPr>
          <w:rStyle w:val="None"/>
          <w:sz w:val="24"/>
          <w:szCs w:val="24"/>
          <w:rtl w:val="0"/>
          <w:lang w:val="en-US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plane affine connection. J. Math. Sci.,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177</w:t>
      </w:r>
      <w:r>
        <w:rPr>
          <w:rStyle w:val="None"/>
          <w:sz w:val="24"/>
          <w:szCs w:val="24"/>
          <w:rtl w:val="0"/>
          <w:lang w:val="en-US"/>
        </w:rPr>
        <w:t>:5, 753</w:t>
      </w:r>
      <w:r>
        <w:rPr>
          <w:rStyle w:val="None"/>
          <w:sz w:val="24"/>
          <w:szCs w:val="24"/>
          <w:rtl w:val="0"/>
          <w:lang w:val="en-US"/>
        </w:rPr>
        <w:t>–</w:t>
      </w:r>
      <w:r>
        <w:rPr>
          <w:rStyle w:val="None"/>
          <w:sz w:val="24"/>
          <w:szCs w:val="24"/>
          <w:rtl w:val="0"/>
          <w:lang w:val="en-US"/>
        </w:rPr>
        <w:t>757 (2011)</w:t>
      </w:r>
    </w:p>
    <w:p>
      <w:pPr>
        <w:pStyle w:val="Обычный"/>
        <w:tabs>
          <w:tab w:val="left" w:pos="993"/>
        </w:tabs>
        <w:ind w:firstLine="0"/>
        <w:rPr>
          <w:rStyle w:val="None"/>
          <w:i w:val="1"/>
          <w:iCs w:val="1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4.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Shevchenko Yu.I. </w:t>
      </w:r>
      <w:r>
        <w:rPr>
          <w:rStyle w:val="None"/>
          <w:sz w:val="24"/>
          <w:szCs w:val="24"/>
          <w:rtl w:val="0"/>
          <w:lang w:val="en-US"/>
        </w:rPr>
        <w:t>On generalizations of the projective Cartan connection on a smooth manifold. IKBFU'sVestnik. Ser. Physics, Mathematics, and technology. Kaliningrad. 10, 60</w:t>
      </w:r>
      <w:r>
        <w:rPr>
          <w:rStyle w:val="None"/>
          <w:sz w:val="24"/>
          <w:szCs w:val="24"/>
          <w:rtl w:val="0"/>
          <w:lang w:val="en-US"/>
        </w:rPr>
        <w:t>–</w:t>
      </w:r>
      <w:r>
        <w:rPr>
          <w:rStyle w:val="None"/>
          <w:sz w:val="24"/>
          <w:szCs w:val="24"/>
          <w:rtl w:val="0"/>
          <w:lang w:val="en-US"/>
        </w:rPr>
        <w:t>68 (2014)</w:t>
      </w:r>
    </w:p>
    <w:p>
      <w:pPr>
        <w:pStyle w:val="Обычный"/>
        <w:tabs>
          <w:tab w:val="left" w:pos="993"/>
        </w:tabs>
        <w:ind w:firstLine="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5.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Zhong, C.:</w:t>
      </w:r>
      <w:r>
        <w:rPr>
          <w:rStyle w:val="None"/>
          <w:sz w:val="24"/>
          <w:szCs w:val="24"/>
          <w:rtl w:val="0"/>
          <w:lang w:val="en-US"/>
        </w:rPr>
        <w:t xml:space="preserve"> On unitary invariant strongly pseudoconvex complex Finsler metrics. Differ. Geom. Appl. 40, 159</w:t>
      </w:r>
      <w:r>
        <w:rPr>
          <w:rStyle w:val="None"/>
          <w:sz w:val="24"/>
          <w:szCs w:val="24"/>
          <w:rtl w:val="0"/>
          <w:lang w:val="en-US"/>
        </w:rPr>
        <w:t>–</w:t>
      </w:r>
      <w:r>
        <w:rPr>
          <w:rStyle w:val="None"/>
          <w:sz w:val="24"/>
          <w:szCs w:val="24"/>
          <w:rtl w:val="0"/>
          <w:lang w:val="en-US"/>
        </w:rPr>
        <w:t>186 (2015)</w:t>
      </w:r>
    </w:p>
    <w:p>
      <w:pPr>
        <w:pStyle w:val="Обычный"/>
        <w:tabs>
          <w:tab w:val="left" w:pos="993"/>
        </w:tabs>
        <w:ind w:firstLine="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6.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Xia, H., Zhong, C.:</w:t>
      </w:r>
      <w:r>
        <w:rPr>
          <w:rStyle w:val="None"/>
          <w:sz w:val="24"/>
          <w:szCs w:val="24"/>
          <w:rtl w:val="0"/>
          <w:lang w:val="en-US"/>
        </w:rPr>
        <w:t xml:space="preserve"> A classification of unitary invariant weakly complex Berwald metrics of constant holomorphic curvature. Differ. Geom. Appl. 43, 1</w:t>
      </w:r>
      <w:r>
        <w:rPr>
          <w:rStyle w:val="None"/>
          <w:sz w:val="24"/>
          <w:szCs w:val="24"/>
          <w:rtl w:val="0"/>
          <w:lang w:val="en-US"/>
        </w:rPr>
        <w:t>–</w:t>
      </w:r>
      <w:r>
        <w:rPr>
          <w:rStyle w:val="None"/>
          <w:sz w:val="24"/>
          <w:szCs w:val="24"/>
          <w:rtl w:val="0"/>
          <w:lang w:val="en-US"/>
        </w:rPr>
        <w:t>20 (2015)</w:t>
      </w:r>
    </w:p>
    <w:p>
      <w:pPr>
        <w:pStyle w:val="Обычный"/>
        <w:tabs>
          <w:tab w:val="left" w:pos="993"/>
        </w:tabs>
        <w:ind w:firstLine="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7.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Walsh, J.B.:</w:t>
      </w:r>
      <w:r>
        <w:rPr>
          <w:rStyle w:val="None"/>
          <w:sz w:val="24"/>
          <w:szCs w:val="24"/>
          <w:rtl w:val="0"/>
          <w:lang w:val="en-US"/>
        </w:rPr>
        <w:t xml:space="preserve"> An introduction to stochastic partial differential equations. In: Ecole d</w:t>
      </w:r>
      <w:r>
        <w:rPr>
          <w:rStyle w:val="None"/>
          <w:sz w:val="24"/>
          <w:szCs w:val="24"/>
          <w:rtl w:val="0"/>
          <w:lang w:val="en-US"/>
        </w:rPr>
        <w:t>’é</w:t>
      </w:r>
      <w:r>
        <w:rPr>
          <w:rStyle w:val="None"/>
          <w:sz w:val="24"/>
          <w:szCs w:val="24"/>
          <w:rtl w:val="0"/>
          <w:lang w:val="en-US"/>
        </w:rPr>
        <w:t>t</w:t>
      </w:r>
      <w:r>
        <w:rPr>
          <w:rStyle w:val="None"/>
          <w:sz w:val="24"/>
          <w:szCs w:val="24"/>
          <w:rtl w:val="0"/>
          <w:lang w:val="en-US"/>
        </w:rPr>
        <w:t xml:space="preserve">é </w:t>
      </w:r>
      <w:r>
        <w:rPr>
          <w:rStyle w:val="None"/>
          <w:sz w:val="24"/>
          <w:szCs w:val="24"/>
          <w:rtl w:val="0"/>
          <w:lang w:val="en-US"/>
        </w:rPr>
        <w:t>de Probabilit</w:t>
      </w:r>
      <w:r>
        <w:rPr>
          <w:rStyle w:val="None"/>
          <w:sz w:val="24"/>
          <w:szCs w:val="24"/>
          <w:rtl w:val="0"/>
          <w:lang w:val="en-US"/>
        </w:rPr>
        <w:t>é</w:t>
      </w:r>
      <w:r>
        <w:rPr>
          <w:rStyle w:val="None"/>
          <w:sz w:val="24"/>
          <w:szCs w:val="24"/>
          <w:rtl w:val="0"/>
          <w:lang w:val="en-US"/>
        </w:rPr>
        <w:t>s de St. Flour XIV, Lecture Notes in Mathematics, 1180, 266</w:t>
      </w:r>
      <w:r>
        <w:rPr>
          <w:rStyle w:val="None"/>
          <w:sz w:val="24"/>
          <w:szCs w:val="24"/>
          <w:rtl w:val="0"/>
          <w:lang w:val="en-US"/>
        </w:rPr>
        <w:t>–</w:t>
      </w:r>
      <w:r>
        <w:rPr>
          <w:rStyle w:val="None"/>
          <w:sz w:val="24"/>
          <w:szCs w:val="24"/>
          <w:rtl w:val="0"/>
          <w:lang w:val="en-US"/>
        </w:rPr>
        <w:t>439. Springer, Berlin (1986)</w:t>
      </w:r>
    </w:p>
    <w:p>
      <w:pPr>
        <w:pStyle w:val="Обычный"/>
        <w:tabs>
          <w:tab w:val="left" w:pos="993"/>
        </w:tabs>
        <w:ind w:firstLine="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8.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 xml:space="preserve">Berezanski, Y.M., Kondratiev, Y.G.: </w:t>
      </w:r>
      <w:r>
        <w:rPr>
          <w:rStyle w:val="None"/>
          <w:sz w:val="24"/>
          <w:szCs w:val="24"/>
          <w:rtl w:val="0"/>
          <w:lang w:val="en-US"/>
        </w:rPr>
        <w:t>Spectral Methods in Infinite-Dimensional Analysis. Springer, Berlin (1995)</w:t>
      </w:r>
    </w:p>
    <w:p>
      <w:pPr>
        <w:pStyle w:val="Обычный"/>
        <w:tabs>
          <w:tab w:val="left" w:pos="993"/>
        </w:tabs>
        <w:ind w:firstLine="0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 xml:space="preserve">9. </w:t>
      </w:r>
      <w:r>
        <w:rPr>
          <w:rStyle w:val="None"/>
          <w:i w:val="1"/>
          <w:iCs w:val="1"/>
          <w:sz w:val="24"/>
          <w:szCs w:val="24"/>
          <w:rtl w:val="0"/>
          <w:lang w:val="en-US"/>
        </w:rPr>
        <w:t>Filipuk, G., Van Assche, W., Zhang, L.:</w:t>
      </w:r>
      <w:r>
        <w:rPr>
          <w:rStyle w:val="None"/>
          <w:sz w:val="24"/>
          <w:szCs w:val="24"/>
          <w:rtl w:val="0"/>
          <w:lang w:val="en-US"/>
        </w:rPr>
        <w:t xml:space="preserve"> Ladder operators and differential equations for multiple orthogonal polynomials.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"http://arxiv.org/abs/1204.5058.%2520Accessed%25201%2520May%25202012"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http://arxiv.org/abs/1204.5058. Accessed 1 May 2012</w:t>
      </w:r>
      <w:r>
        <w:rPr>
          <w:lang w:val="en-US"/>
        </w:rPr>
        <w:fldChar w:fldCharType="end" w:fldLock="0"/>
      </w:r>
    </w:p>
    <w:p>
      <w:pPr>
        <w:pStyle w:val="Обычный"/>
        <w:tabs>
          <w:tab w:val="left" w:pos="993"/>
        </w:tabs>
        <w:ind w:firstLine="0"/>
        <w:rPr>
          <w:rStyle w:val="None"/>
          <w:sz w:val="24"/>
          <w:szCs w:val="24"/>
          <w:lang w:val="en-US"/>
        </w:rPr>
      </w:pPr>
    </w:p>
    <w:p>
      <w:pPr>
        <w:pStyle w:val="Обычный"/>
        <w:tabs>
          <w:tab w:val="left" w:pos="993"/>
        </w:tabs>
        <w:ind w:firstLine="0"/>
        <w:jc w:val="center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About the author</w:t>
      </w:r>
    </w:p>
    <w:p>
      <w:pPr>
        <w:pStyle w:val="Обычный"/>
        <w:tabs>
          <w:tab w:val="left" w:pos="993"/>
        </w:tabs>
        <w:ind w:firstLine="0"/>
        <w:jc w:val="left"/>
        <w:rPr>
          <w:rStyle w:val="None"/>
          <w:sz w:val="24"/>
          <w:szCs w:val="24"/>
          <w:lang w:val="en-US"/>
        </w:rPr>
      </w:pPr>
    </w:p>
    <w:p>
      <w:pPr>
        <w:pStyle w:val="Обычный"/>
        <w:tabs>
          <w:tab w:val="left" w:pos="993"/>
        </w:tabs>
        <w:ind w:firstLine="0"/>
        <w:jc w:val="left"/>
        <w:rPr>
          <w:rStyle w:val="None"/>
          <w:sz w:val="24"/>
          <w:szCs w:val="24"/>
          <w:lang w:val="en-US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Dr Alexey A. Ivanov,</w:t>
      </w:r>
      <w:r>
        <w:rPr>
          <w:rStyle w:val="None"/>
          <w:sz w:val="24"/>
          <w:szCs w:val="24"/>
          <w:rtl w:val="0"/>
          <w:lang w:val="en-US"/>
        </w:rPr>
        <w:t xml:space="preserve"> Senior Researcher, Immanuel Kant Baltic Federal University, Russia.</w:t>
      </w:r>
    </w:p>
    <w:p>
      <w:pPr>
        <w:pStyle w:val="Обычный"/>
        <w:tabs>
          <w:tab w:val="left" w:pos="993"/>
        </w:tabs>
        <w:ind w:firstLine="0"/>
        <w:jc w:val="left"/>
        <w:rPr>
          <w:rStyle w:val="None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E</w:t>
      </w:r>
      <w:r>
        <w:rPr>
          <w:rStyle w:val="None"/>
          <w:sz w:val="24"/>
          <w:szCs w:val="24"/>
          <w:rtl w:val="0"/>
          <w:lang w:val="en-US"/>
        </w:rPr>
        <w:softHyphen/>
        <w:t>mail: AIvanov@kantiana.ru</w:t>
      </w:r>
    </w:p>
    <w:p>
      <w:pPr>
        <w:pStyle w:val="Обычный"/>
        <w:tabs>
          <w:tab w:val="left" w:pos="993"/>
        </w:tabs>
        <w:ind w:firstLine="0"/>
        <w:jc w:val="left"/>
      </w:pPr>
      <w:r>
        <w:rPr>
          <w:rStyle w:val="None"/>
          <w:sz w:val="24"/>
          <w:szCs w:val="24"/>
          <w:rtl w:val="0"/>
          <w:lang w:val="en-US"/>
        </w:rPr>
        <w:t>ORCID: https://orcid.org/0000</w:t>
      </w:r>
      <w:r>
        <w:rPr>
          <w:rStyle w:val="None"/>
          <w:sz w:val="24"/>
          <w:szCs w:val="24"/>
          <w:rtl w:val="0"/>
          <w:lang w:val="en-US"/>
        </w:rPr>
        <w:softHyphen/>
        <w:t>0002</w:t>
      </w:r>
      <w:r>
        <w:rPr>
          <w:rStyle w:val="None"/>
          <w:sz w:val="24"/>
          <w:szCs w:val="24"/>
          <w:rtl w:val="0"/>
          <w:lang w:val="en-US"/>
        </w:rPr>
        <w:softHyphen/>
        <w:t>4501</w:t>
      </w:r>
      <w:r>
        <w:rPr>
          <w:rStyle w:val="None"/>
          <w:sz w:val="24"/>
          <w:szCs w:val="24"/>
          <w:rtl w:val="0"/>
          <w:lang w:val="en-US"/>
        </w:rPr>
        <w:softHyphen/>
        <w:t>9052</w:t>
      </w:r>
    </w:p>
    <w:sectPr>
      <w:headerReference w:type="default" r:id="rId6"/>
      <w:footerReference w:type="default" r:id="rId7"/>
      <w:pgSz w:w="11900" w:h="16840" w:orient="portrait"/>
      <w:pgMar w:top="3884" w:right="2977" w:bottom="3884" w:left="29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284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4"/>
      <w:szCs w:val="24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4f81bd"/>
      <w:sz w:val="24"/>
      <w:szCs w:val="24"/>
      <w:u w:val="single" w:color="4f81bd"/>
      <w:lang w:val="ru-RU"/>
      <w14:textFill>
        <w14:solidFill>
          <w14:srgbClr w14:val="4F81B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